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1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Рустамжона Ганишеровича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Хидиров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19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регистрационный знак </w:t>
      </w:r>
      <w:r>
        <w:rPr>
          <w:rStyle w:val="cat-UserDefinedgrp-3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eastAsia="Times New Roman" w:hAnsi="Times New Roman" w:cs="Times New Roman"/>
          <w:sz w:val="28"/>
          <w:szCs w:val="28"/>
        </w:rPr>
        <w:t>нарушил пункт 2 Основных положений по допуску транспортных средств к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Хидиров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Хидиров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Основных положений по допуску транспортных средств к эксплуатации и обязанности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Основных положений по допуску транспортных средств к эксплуатации и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примечанием к статье 12.2 КоАП РФ 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Хидиров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36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учета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Р.Г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инспектора ИДПС ГИБДД УМВД России по г. Сургуту, в котором изложены обстоятельства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анные доказательства оценены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статьи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квалифицированы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не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Хидирова Рустамжона Ганишеровича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 КБК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 01140; кор. /сч.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06328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20"/>
        <w:jc w:val="both"/>
      </w:pPr>
    </w:p>
    <w:p>
      <w:pPr>
        <w:spacing w:before="0" w:after="0"/>
        <w:ind w:left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left="567" w:firstLine="284"/>
        <w:jc w:val="both"/>
      </w:pPr>
    </w:p>
    <w:p>
      <w:pPr>
        <w:spacing w:before="0" w:after="0"/>
        <w:ind w:left="567" w:firstLine="284"/>
        <w:jc w:val="both"/>
      </w:pPr>
      <w:r>
        <w:rPr>
          <w:rStyle w:val="cat-UserDefinedgrp-37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>В соответствии с п.1.3 ст. 32.2 КоАП РФ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0">
    <w:name w:val="cat-UserDefined grp-31 rplc-0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CarMakeModelgrp-19rplc-17">
    <w:name w:val="cat-CarMakeModel grp-19 rplc-17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7rplc-43">
    <w:name w:val="cat-UserDefined grp-37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